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F4E54">
      <w:pPr>
        <w:pStyle w:val="1"/>
      </w:pPr>
      <w:bookmarkStart w:id="0" w:name="_GoBack"/>
      <w:bookmarkEnd w:id="0"/>
      <w:r>
        <w:t>Письмо Министерства строи</w:t>
      </w:r>
      <w:r>
        <w:t>тельства и жилищно-коммунального хозяйства РФ от 15 октября 2020 г. N 41307-ИФ/09</w:t>
      </w:r>
    </w:p>
    <w:p w:rsidR="00000000" w:rsidRDefault="002F4E54"/>
    <w:p w:rsidR="00000000" w:rsidRDefault="002F4E54">
      <w:r>
        <w:t>Министерство строительства и жилищно-коммунального хозяйства Российской Федерации по вопросу разграничений функц</w:t>
      </w:r>
      <w:r>
        <w:t>ий и определения затрат на осуществление строительного контроля и авторского надзора сообщает.</w:t>
      </w:r>
    </w:p>
    <w:p w:rsidR="00000000" w:rsidRDefault="002F4E54">
      <w:r>
        <w:t>Согласно части 1 статьи 53 Градостроительного кодекса Российской Федерации (далее - Кодекс) строительный контроль проводится в процессе строительства, реконструк</w:t>
      </w:r>
      <w:r>
        <w:t>ции, капитального ремонта объектов капитального строительства в целях проверки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 эффективности и треб</w:t>
      </w:r>
      <w:r>
        <w:t>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капитального строительст</w:t>
      </w:r>
      <w:r>
        <w:t>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ограничениям, установленным в соответствии с земельным и иным за</w:t>
      </w:r>
      <w:r>
        <w:t>конодательством Российской Федерации.</w:t>
      </w:r>
    </w:p>
    <w:p w:rsidR="00000000" w:rsidRDefault="002F4E54">
      <w:r>
        <w:t>Частью 2 статьи 53 Кодекса установлено, что строительный контроль проводится лицом, осуществляющим строительство. В случае осуществления строительства, реконструкции, капитального ремонта на основании договора строител</w:t>
      </w:r>
      <w:r>
        <w:t>ьного подряда строительный контроль проводится также застройщиком, техническим заказчиком, лицом, ответственным за эксплуатацию здания, сооружения, или региональным оператором либо привлекаемыми ими на основании договора индивидуальным предпринимателем или</w:t>
      </w:r>
      <w:r>
        <w:t xml:space="preserve"> юридическим лицом. Застройщик или технический заказчик по своей инициативе может привлекать лицо, осуществляющее подготовку проектной документации, для проверки соответствия выполняемых работ проектной документации.</w:t>
      </w:r>
    </w:p>
    <w:p w:rsidR="00000000" w:rsidRDefault="002F4E54">
      <w:r>
        <w:t>Порядок проведения строительного контро</w:t>
      </w:r>
      <w:r>
        <w:t>ля при осуществлении строительства, реконструкции и капитального ремонта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</w:t>
      </w:r>
      <w:r>
        <w:t xml:space="preserve">в, осуществляющих строительный контроль, по объектам, финансируемым полностью или частично с привлечением средств федерального бюджета утвержден постановлением Правительства Российской Федерации от 21 июня 2010 г. N 468 "О порядке проведения строительного </w:t>
      </w:r>
      <w:r>
        <w:t>контроля при осуществлении строительства, реконструкции и капитального ремонта объектов капитального строительства" (далее - Положение N 468).</w:t>
      </w:r>
    </w:p>
    <w:p w:rsidR="00000000" w:rsidRDefault="002F4E54">
      <w:r>
        <w:t>В соответствии с частью 1 статьи 53 Кодекса проверка соответствия выполняемых работ проектной документации являет</w:t>
      </w:r>
      <w:r>
        <w:t>ся одной из составляющей строительного контроля. Проведение указанных работ является в силу статьи 53 Кодекса обязательным, тогда как привлечение лица, осуществляющего подготовку проектной документации, для проверки соответствия выполняемых работ проектной</w:t>
      </w:r>
      <w:r>
        <w:t xml:space="preserve"> документации (авторский надзор), согласно части 2 статьи 53 Кодекса осуществляется по инициативе застройщика или технического заказчика.</w:t>
      </w:r>
    </w:p>
    <w:p w:rsidR="00000000" w:rsidRDefault="002F4E54">
      <w:r>
        <w:t>В отношении отдельных объектов капитального строительства, строительство, реконструкцию которых планируется осуществля</w:t>
      </w:r>
      <w:r>
        <w:t>ть полностью или частично за счет средств федерального бюджета, Правительством Российской Федерации в установленных им случаях принимается решение о проведении строительного контроля Минстроем России или подведомственным Минстрою России государственным (бю</w:t>
      </w:r>
      <w:r>
        <w:t>джетным или автономным) учреждением (ч. 2.1 ст. 53 Кодекса).</w:t>
      </w:r>
    </w:p>
    <w:p w:rsidR="00000000" w:rsidRDefault="002F4E54">
      <w:r>
        <w:t>Согласно пункту 41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 г. N 716 (дал</w:t>
      </w:r>
      <w:r>
        <w:t>ее - Правил формирования ФАИП) для осуществления строительства объектов капитального строительства производственного назначения, а также крупных объектов капитального строительства непроизводственного назначения по индивидуально разрабатываемым проектам мо</w:t>
      </w:r>
      <w:r>
        <w:t>жет быть создана дирекция строительства (далее - дирекция), которая выполняет функции технического заказчика.</w:t>
      </w:r>
    </w:p>
    <w:p w:rsidR="00000000" w:rsidRDefault="002F4E54">
      <w:r>
        <w:t>Согласно пункту 40 Правил формирования ФАИП функции государственного заказчика (технического заказчика) осуществляются в пределах средств, предусм</w:t>
      </w:r>
      <w:r>
        <w:t xml:space="preserve">отренных на его текущее содержание. </w:t>
      </w:r>
    </w:p>
    <w:p w:rsidR="00000000" w:rsidRDefault="002F4E54">
      <w:r>
        <w:t>Приказом Минстроя России от 2 июня 2020 г. №297/пр утверждена Методика определения затрат на осуществление функций технического заказчика (зарегистрирован в Минюсте России 16 июля 2020 г. за N 58980), которая предназнач</w:t>
      </w:r>
      <w:r>
        <w:t>ена для применения при определении сметной стоимости строительства, реконструкции, капитального ремонта, сноса объектов капитального строительства в соответствии с частью 1 статьи 8.3 Кодекса (далее - Методика N 297).</w:t>
      </w:r>
    </w:p>
    <w:p w:rsidR="00000000" w:rsidRDefault="002F4E54">
      <w:r>
        <w:t>Согласно пункту 4 Методики N 297 Затра</w:t>
      </w:r>
      <w:r>
        <w:t xml:space="preserve">ты на осуществление функций технического заказчика в случае финансового обеспечения его деятельности за счет капитальных вложений, выделяемых на </w:t>
      </w:r>
      <w:r>
        <w:lastRenderedPageBreak/>
        <w:t xml:space="preserve">строительство объектов капитального строительства, определяются расчетом, согласованным застройщиком, с учетом </w:t>
      </w:r>
      <w:r>
        <w:t>численности работников технического заказчика и включаются в графы 7 и 8 главы 10 "Содержание службы заказчика. Строительный контроль" сводного сметного расчета стоимости строительства в уровне цен, сложившемся ко времени составления сметной документации н</w:t>
      </w:r>
      <w:r>
        <w:t>а строительство объекта капитального строительства в составе проектной документации, без учета налога на добавленную стоимость.</w:t>
      </w:r>
    </w:p>
    <w:p w:rsidR="00000000" w:rsidRDefault="002F4E54">
      <w:r>
        <w:t>В случае, если функции технического заказчика по объекту капитального строительства осуществляет уполномоченная застройщиком орг</w:t>
      </w:r>
      <w:r>
        <w:t>анизация, деятельность которой финансируется за счет целевых средств, выделяемых на ее текущее содержание на основании утвержденной в установленном бюджетным законодательством Российской Федерации порядке в рамках лимитов бюджетных обязательств, и иных сре</w:t>
      </w:r>
      <w:r>
        <w:t>дств, не предусмотренных в абзаце первом настоящего пункта, затраты на осуществление функций технического заказчика в сводный сметный расчет стоимости строительства не включаются.</w:t>
      </w:r>
    </w:p>
    <w:p w:rsidR="00000000" w:rsidRDefault="002F4E54">
      <w:r>
        <w:t>В силу статьи 12 Федерального закона от 17 ноября 1995 г. N 169-ФЗ "Об архит</w:t>
      </w:r>
      <w:r>
        <w:t>ектурной деятельности в Российской Федерации" (далее - Закон N 169-ФЗ) архитектор и юридическое лицо на основании договора с застройщиком имеют право осуществлять авторский надзор за строительством архитектурного объекта.</w:t>
      </w:r>
    </w:p>
    <w:p w:rsidR="00000000" w:rsidRDefault="002F4E54">
      <w:r>
        <w:t>Положениями градостроительного зак</w:t>
      </w:r>
      <w:r>
        <w:t>онодательства установлено, что осуществление строительного контроля при строительстве, реконструкции, капитальном ремонте обязательное, а проведение авторского надзора возможно только в том случае, если в проектной документации имеется архитектурная часть.</w:t>
      </w:r>
      <w:r>
        <w:t xml:space="preserve"> При этом застройщик либо подрядчик вправе не привлекать автора архитектурного проекта с его согласия к разработке документации для строительства и к авторскому надзору за строительством архитектурного объекта при условии реализации архитектурного проекта </w:t>
      </w:r>
      <w:r>
        <w:t>без изменений (статья 20 Закона N 169-ФЗ).</w:t>
      </w:r>
    </w:p>
    <w:p w:rsidR="00000000" w:rsidRDefault="002F4E54">
      <w:r>
        <w:t>Кроме того, в соответствии с пунктом 3 части 1 статьи 39 и частью 1 статьи 41 Федерального закона от 30 декабря 2009 г. N 384-ФЗ "Технический регламент о безопасности зданий и сооружений" (далее - Технический регл</w:t>
      </w:r>
      <w:r>
        <w:t>амент) строительный контроль является обязательной формой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(сноса), а авторски</w:t>
      </w:r>
      <w:r>
        <w:t>й надзор - добровольной.</w:t>
      </w:r>
    </w:p>
    <w:p w:rsidR="00000000" w:rsidRDefault="002F4E54">
      <w:r>
        <w:t>Согласно пункту 3 части 2 статьи 2 Технического регламента авторский надзор - это контроль лица, осуществившего подготовку проектной документации, за соблюдением в процессе строительства требований проектной документации.</w:t>
      </w:r>
    </w:p>
    <w:p w:rsidR="00000000" w:rsidRDefault="002F4E54">
      <w:r>
        <w:t>В соответ</w:t>
      </w:r>
      <w:r>
        <w:t xml:space="preserve">ствии с пунктом 4.6 СП 48.13330.2019 "СНиП 12-01-2004 Организация строительства", утвержденного приказом Минстроя России от 24 декабря 2019 г. N 861/пр (далее - СП 48.13330.2019), в базовые функции застройщика на период строительства входят как проведение </w:t>
      </w:r>
      <w:r>
        <w:t xml:space="preserve">строительного контроля застройщика (технического заказчика), так и привлечение для авторского надзора за строительством объекта лица, осуществляющего подготовку проектной документации, либо лица, обладающего соответствующими квалификационными требованиями </w:t>
      </w:r>
      <w:r>
        <w:t>в области подготовки проектной документации.</w:t>
      </w:r>
    </w:p>
    <w:p w:rsidR="00000000" w:rsidRDefault="002F4E54">
      <w:r>
        <w:t>В силу пункта 9.2 СП 48.13330.2019 лицо, осуществляющее подготовку проектной документации (проектная организация), осуществляет авторский надзор согласно положениям Свода правил "Положение об авторском надзоре з</w:t>
      </w:r>
      <w:r>
        <w:t xml:space="preserve">а строительством зданий и сооружений", утвержденным приказом Минстроя России от 19 февраля 2016 г. N 98/пр (далее - СП 246.1325800.2016). Кроме того, установлено, что при строительстве опасных производственных объектов, особо опасных, технически сложных и </w:t>
      </w:r>
      <w:r>
        <w:t>уникальных объектов, а также при приспособлении объекта культурного наследия для современного использования осуществляется обязательный авторский надзор проектной организации. В остальных случаях он осуществляется по решению застройщика (технического заказ</w:t>
      </w:r>
      <w:r>
        <w:t>чика). Порядок осуществления и функции авторского надзора установлен СП 246.1325800.2016.</w:t>
      </w:r>
    </w:p>
    <w:p w:rsidR="00000000" w:rsidRDefault="002F4E54">
      <w:r>
        <w:t>Следует отметить, что СП 246.1325800.2016 включен в Перечень документов в области стандартизации, в результате применения которых на добровольной основе обеспечиваетс</w:t>
      </w:r>
      <w:r>
        <w:t>я соблюдение требований Федерального закона от 30 декабря 2009 г. N 384-ФЗ "Технический регламент о безопасности зданий и сооружений", утвержденный приказом Росстандарта от 2 апреля 2020 г. N 687.</w:t>
      </w:r>
    </w:p>
    <w:p w:rsidR="00000000" w:rsidRDefault="002F4E54">
      <w:r>
        <w:t>Авторский надзор, выполняемый проектной организацией, осуще</w:t>
      </w:r>
      <w:r>
        <w:t>ствляется во взаимодействии со специалистами, осуществляющими строительный контроль в соответствии с пунктом 3 Положения N 468 (пункт 4.7 СП 246.1325800.2016), на основании договора (контракта), заключенного между застройщиком, заказчиком, техническим зака</w:t>
      </w:r>
      <w:r>
        <w:t>зчиком и проектировщиком, или организационно-распорядительного документа в случае, если проектировщиком является одно из структурных подразделений заказчика или подрядчика (пункт 6.1 СП 246.1325800.2016).</w:t>
      </w:r>
    </w:p>
    <w:p w:rsidR="00000000" w:rsidRDefault="002F4E54">
      <w:r>
        <w:t>В соответствии с требованиями, установленными пункт</w:t>
      </w:r>
      <w:r>
        <w:t>ом 31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 г. N 87 (далее - Положение N 87) средства на строительный контроль входят в состав с</w:t>
      </w:r>
      <w:r>
        <w:t>водного сметного расчета стоимости строительства (глава 10 сводного сметного расчета), являющегося неотъемлемой частью сметы на строительство объектов капитального строительства, включаемой в раздел 11 проектной документации.</w:t>
      </w:r>
    </w:p>
    <w:p w:rsidR="00000000" w:rsidRDefault="002F4E54">
      <w:r>
        <w:lastRenderedPageBreak/>
        <w:t>Порядок составления сметной до</w:t>
      </w:r>
      <w:r>
        <w:t>кументации и определения сметной стоимости регламентирован Методикой определения стоимости строительной продукции на территории Российской Федерации (МДС 81-35.2004), утвержденной постановлением Госстроя России от 5 марта 2004 г. N 15/1 и действующей в час</w:t>
      </w:r>
      <w:r>
        <w:t>ти, не противоречащей градостроительному законодательству.</w:t>
      </w:r>
    </w:p>
    <w:p w:rsidR="00000000" w:rsidRDefault="002F4E54">
      <w:r>
        <w:t>В соответствии с пунктами 4.89 и 4.91 МДС 81-35.2004 в главу 12 "Проектные и изыскательские работы, авторский надзор" включается проведение авторского надзора проектных организаций за строительство</w:t>
      </w:r>
      <w:r>
        <w:t xml:space="preserve">м (капитальным ремонтом), а средства на его проведение рекомендуется определять расчетом исходя из текущего (прогнозного) уровня цен, но не более 0,2% от полной сметной стоимости, учтенной в главах 1-9 сводного сметного расчета, и включаются в графы 7 и 8 </w:t>
      </w:r>
      <w:r>
        <w:t>сводного сметного расчета, а объем средств, необходимый для осуществления строительного контроля, рассчитывается в порядке, установленном Положением N 468.</w:t>
      </w:r>
    </w:p>
    <w:p w:rsidR="00000000" w:rsidRDefault="002F4E54">
      <w:r>
        <w:t>Дополнительно сообщается, что приказом Минстроя России от 4 августа 2020 г. N 421/пр утверждена Мето</w:t>
      </w:r>
      <w:r>
        <w:t>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</w:t>
      </w:r>
      <w:r>
        <w:t>оссийской Федерации (зарегистрирован Министерством юстиции Российской Федерации 23 сентября 2020 г., регистрационный N 59986) (далее - Методика N 421), который вступил в силу с 5 октября 2020 года.</w:t>
      </w:r>
    </w:p>
    <w:p w:rsidR="00000000" w:rsidRDefault="002F4E54">
      <w:r>
        <w:t>Методика N 421 определяет единые методы формирования сметн</w:t>
      </w:r>
      <w:r>
        <w:t>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этапе архитектурно-строительного п</w:t>
      </w:r>
      <w:r>
        <w:t>роектирования, подготовки сметы на снос объекта капитального строительства.</w:t>
      </w:r>
    </w:p>
    <w:p w:rsidR="00000000" w:rsidRDefault="002F4E54">
      <w:r>
        <w:t>Пунктами 162 -168 Методики N 421 предусмотрено, что:</w:t>
      </w:r>
    </w:p>
    <w:p w:rsidR="00000000" w:rsidRDefault="002F4E54">
      <w:r>
        <w:t>- затраты на содержание технического заказчика и затраты заказчика на проведение строительного контроля при строительстве включ</w:t>
      </w:r>
      <w:r>
        <w:t>аются в главу 10 сводного сметного расчета в графы 7 и 8;</w:t>
      </w:r>
    </w:p>
    <w:p w:rsidR="00000000" w:rsidRDefault="002F4E54">
      <w:r>
        <w:t>- средства на содержание технического заказчика определяются на основании расчета в соответствии с положениями сметных нормативов, сведения о которых включены в Федеральный реестр сметных нормативов</w:t>
      </w:r>
      <w:r>
        <w:t xml:space="preserve"> (ФРСН);</w:t>
      </w:r>
    </w:p>
    <w:p w:rsidR="00000000" w:rsidRDefault="002F4E54">
      <w:r>
        <w:t>- при осуществлении строительного контроля техническим заказчиком к средствам на содержание технического заказчика дополнительно включаются расходы на проведение строительного контроля;</w:t>
      </w:r>
    </w:p>
    <w:p w:rsidR="00000000" w:rsidRDefault="002F4E54">
      <w:r>
        <w:t>- затраты на содержание технического заказчика не учитываются в сводном сметном расчете в случае, если функции технического заказчика осуществляет уполномоченная застройщиком организация, деятельность которой финансируется за счет целевых средств, выделяем</w:t>
      </w:r>
      <w:r>
        <w:t>ых на ее текущее содержание, на основании бюджетной сметы, утвержденной в установленном бюджетным законодательством Российской Федерации порядке в рамках лимитов бюджетных обязательств;</w:t>
      </w:r>
    </w:p>
    <w:p w:rsidR="00000000" w:rsidRDefault="002F4E54">
      <w:r>
        <w:t>- размер затрат на осуществление строительного контроля при строительс</w:t>
      </w:r>
      <w:r>
        <w:t>тве объектов капитального строительства, финансируемых полностью или частично с привлечением средств федерального бюджета, определяется исходя из общей стоимости строительства с применением нормативов, приведенных в приложении к Положению N 468;</w:t>
      </w:r>
    </w:p>
    <w:p w:rsidR="00000000" w:rsidRDefault="002F4E54">
      <w:r>
        <w:t>- расчет з</w:t>
      </w:r>
      <w:r>
        <w:t>атрат на осуществление строительного контроля осуществляется в текущем уровне цен от итогов глав 1-9 сводного сметного расчета стоимости строительства (графы 4,5,6) (за исключением расходов на приобретение земельных участков), и указывается в главе 10 свод</w:t>
      </w:r>
      <w:r>
        <w:t>ного сметного расчета стоимости строительства отдельной строкой "Строительный контроль" (графы 7,8);</w:t>
      </w:r>
    </w:p>
    <w:p w:rsidR="00000000" w:rsidRDefault="002F4E54">
      <w:r>
        <w:t>- при применении ресурсного и ресурсно-индексного методов для определения нормативов расходов на осуществление строительного контроля сметная стоимость стр</w:t>
      </w:r>
      <w:r>
        <w:t>оительства в базисном уровне цен рассчитывается как отношение сметной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:rsidR="00000000" w:rsidRDefault="002F4E54">
      <w:r>
        <w:t>Включение затрат на осуществление авторского надз</w:t>
      </w:r>
      <w:r>
        <w:t>ора согласно пункту 173 Методики N 421 допускается по объектам, обязательное проведение авторского надзора по которым предусмотрено законодательством Российской Федерации, а также по решению заказчика при согласовании с главным распорядителем средств соотв</w:t>
      </w:r>
      <w:r>
        <w:t>етствующего бюджета (за исключением случаев, когда заказчиком является главный распорядитель бюджетных средств). Лимит затрат на проведение авторского надзора определяется в размере 0,2 процентов от итога графы 8 глав 1-9 сводного сметного расчета и включа</w:t>
      </w:r>
      <w:r>
        <w:t>ется в графы 7 и 8.</w:t>
      </w:r>
    </w:p>
    <w:p w:rsidR="00000000" w:rsidRDefault="002F4E54">
      <w:r>
        <w:t>При этом пунктом 174 Методики N 421 установлено, что лимит затрат на проведение авторского надзора не учитывает стоимость проезда лиц, осуществляющих авторский надзор, на объект строительства и обратно. Данные затраты определяются допол</w:t>
      </w:r>
      <w:r>
        <w:t>нительно в порядке, определенном нормативными правовыми актами Российской Федерации, и включаются в главу 12 сводного сметного расчета (графы 7 и 8).</w:t>
      </w:r>
    </w:p>
    <w:p w:rsidR="00000000" w:rsidRDefault="002F4E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5"/>
        <w:gridCol w:w="34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F4E54">
            <w:pPr>
              <w:pStyle w:val="af0"/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F4E54">
            <w:pPr>
              <w:pStyle w:val="af1"/>
            </w:pPr>
            <w:r>
              <w:t>И.Э. Файзуллин</w:t>
            </w:r>
          </w:p>
        </w:tc>
      </w:tr>
    </w:tbl>
    <w:p w:rsidR="002F4E54" w:rsidRDefault="002F4E54"/>
    <w:sectPr w:rsidR="002F4E54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1C"/>
    <w:rsid w:val="002F4E54"/>
    <w:rsid w:val="004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05C633-9666-464E-9387-B878B9EB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color w:val="808000"/>
    </w:rPr>
  </w:style>
  <w:style w:type="character" w:customStyle="1" w:styleId="af6">
    <w:name w:val="Не вступил в силу"/>
    <w:basedOn w:val="af5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Лихачева</dc:creator>
  <cp:keywords/>
  <dc:description/>
  <cp:lastModifiedBy>Анна Лихачева</cp:lastModifiedBy>
  <cp:revision>2</cp:revision>
  <dcterms:created xsi:type="dcterms:W3CDTF">2020-11-06T06:17:00Z</dcterms:created>
  <dcterms:modified xsi:type="dcterms:W3CDTF">2020-11-06T06:17:00Z</dcterms:modified>
</cp:coreProperties>
</file>